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7E" w:rsidRPr="003B123A" w:rsidRDefault="00655A7E" w:rsidP="00211C57">
      <w:pPr>
        <w:jc w:val="right"/>
        <w:rPr>
          <w:b/>
          <w:bCs/>
          <w:i/>
          <w:iCs/>
          <w:smallCaps/>
          <w:color w:val="000000"/>
          <w:u w:val="single"/>
        </w:rPr>
      </w:pPr>
      <w:r>
        <w:rPr>
          <w:b/>
          <w:bCs/>
          <w:i/>
          <w:iCs/>
          <w:smallCaps/>
          <w:color w:val="000000"/>
          <w:u w:val="single"/>
        </w:rPr>
        <w:t>Приложение 1</w:t>
      </w:r>
    </w:p>
    <w:p w:rsidR="00655A7E" w:rsidRPr="00E26789" w:rsidRDefault="00655A7E" w:rsidP="00211C57">
      <w:pPr>
        <w:jc w:val="right"/>
        <w:rPr>
          <w:smallCaps/>
          <w:color w:val="000000"/>
          <w:u w:val="single"/>
        </w:rPr>
      </w:pPr>
    </w:p>
    <w:p w:rsidR="00655A7E" w:rsidRDefault="00655A7E" w:rsidP="00211C57">
      <w:pPr>
        <w:jc w:val="center"/>
        <w:rPr>
          <w:b/>
          <w:bCs/>
          <w:smallCaps/>
          <w:color w:val="000000"/>
          <w:sz w:val="36"/>
          <w:szCs w:val="36"/>
          <w:u w:val="single"/>
        </w:rPr>
      </w:pPr>
    </w:p>
    <w:p w:rsidR="00655A7E" w:rsidRDefault="00655A7E" w:rsidP="00211C57">
      <w:pPr>
        <w:jc w:val="center"/>
        <w:rPr>
          <w:b/>
          <w:bCs/>
          <w:smallCaps/>
          <w:color w:val="000000"/>
          <w:sz w:val="36"/>
          <w:szCs w:val="36"/>
          <w:u w:val="single"/>
        </w:rPr>
      </w:pPr>
    </w:p>
    <w:p w:rsidR="00655A7E" w:rsidRPr="00CF3E00" w:rsidRDefault="00655A7E" w:rsidP="00211C57">
      <w:pPr>
        <w:jc w:val="center"/>
        <w:rPr>
          <w:b/>
          <w:bCs/>
          <w:smallCaps/>
          <w:color w:val="000000"/>
          <w:sz w:val="36"/>
          <w:szCs w:val="36"/>
          <w:u w:val="single"/>
        </w:rPr>
      </w:pPr>
      <w:r w:rsidRPr="00CF3E00">
        <w:rPr>
          <w:b/>
          <w:bCs/>
          <w:smallCaps/>
          <w:color w:val="000000"/>
          <w:sz w:val="36"/>
          <w:szCs w:val="36"/>
          <w:u w:val="single"/>
        </w:rPr>
        <w:t xml:space="preserve">критерий за оценка </w:t>
      </w:r>
    </w:p>
    <w:p w:rsidR="00655A7E" w:rsidRPr="00CF3E00" w:rsidRDefault="00655A7E" w:rsidP="00211C57">
      <w:pPr>
        <w:jc w:val="center"/>
        <w:rPr>
          <w:b/>
          <w:bCs/>
          <w:smallCaps/>
          <w:color w:val="000000"/>
          <w:sz w:val="36"/>
          <w:szCs w:val="36"/>
          <w:u w:val="single"/>
        </w:rPr>
      </w:pPr>
    </w:p>
    <w:p w:rsidR="00655A7E" w:rsidRPr="00CF3E00" w:rsidRDefault="00655A7E" w:rsidP="00211C57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  <w:r w:rsidRPr="00CF3E00">
        <w:rPr>
          <w:color w:val="000000"/>
        </w:rPr>
        <w:tab/>
        <w:t>Критерият за оценка на допуснатите до оценка и класиране  оферти е икономически най – изгодната оферта. Комисията подписва обобщена оценъчна таблица  и класира на първо място участникът получил най</w:t>
      </w:r>
      <w:r>
        <w:rPr>
          <w:color w:val="000000"/>
        </w:rPr>
        <w:t xml:space="preserve"> </w:t>
      </w:r>
      <w:r w:rsidRPr="00CF3E00">
        <w:rPr>
          <w:color w:val="000000"/>
        </w:rPr>
        <w:t>- много точки след осредняване на резултатит</w:t>
      </w:r>
      <w:r>
        <w:rPr>
          <w:color w:val="000000"/>
        </w:rPr>
        <w:t>е /точките/ по всеки показател.</w:t>
      </w:r>
    </w:p>
    <w:p w:rsidR="00655A7E" w:rsidRPr="00CF3E00" w:rsidRDefault="00655A7E" w:rsidP="00211C57">
      <w:pPr>
        <w:jc w:val="both"/>
        <w:rPr>
          <w:color w:val="000000"/>
        </w:rPr>
      </w:pPr>
      <w:r w:rsidRPr="00CF3E00">
        <w:rPr>
          <w:color w:val="000000"/>
        </w:rPr>
        <w:tab/>
        <w:t xml:space="preserve">Участника с най-висок коефициент </w:t>
      </w:r>
      <w:r>
        <w:rPr>
          <w:color w:val="000000"/>
        </w:rPr>
        <w:t>О</w:t>
      </w:r>
      <w:r w:rsidRPr="00CF3E00">
        <w:rPr>
          <w:color w:val="000000"/>
        </w:rPr>
        <w:t xml:space="preserve"> се класира на първо място. Класирането на  офертите се извършва в зависимост от комплексната оценка на  участника по методиката, която се формира като сбор от получените точки по отделните показатели за оценка след осредняването. </w:t>
      </w:r>
    </w:p>
    <w:p w:rsidR="00655A7E" w:rsidRPr="00CF3E00" w:rsidRDefault="00655A7E" w:rsidP="00211C57">
      <w:pPr>
        <w:rPr>
          <w:b/>
          <w:bCs/>
          <w:color w:val="000000"/>
        </w:rPr>
      </w:pPr>
    </w:p>
    <w:p w:rsidR="00655A7E" w:rsidRPr="00CF3E00" w:rsidRDefault="00655A7E" w:rsidP="00211C57">
      <w:pPr>
        <w:rPr>
          <w:b/>
          <w:bCs/>
          <w:color w:val="000000"/>
        </w:rPr>
      </w:pPr>
    </w:p>
    <w:p w:rsidR="00655A7E" w:rsidRDefault="00655A7E" w:rsidP="00211C57">
      <w:pPr>
        <w:jc w:val="center"/>
        <w:rPr>
          <w:color w:val="000000"/>
        </w:rPr>
      </w:pPr>
    </w:p>
    <w:p w:rsidR="00655A7E" w:rsidRPr="00CF3E00" w:rsidRDefault="00655A7E" w:rsidP="00211C57">
      <w:pPr>
        <w:jc w:val="center"/>
        <w:rPr>
          <w:b/>
          <w:bCs/>
          <w:smallCaps/>
          <w:color w:val="000000"/>
          <w:u w:val="single"/>
        </w:rPr>
      </w:pPr>
      <w:r w:rsidRPr="00CF3E00">
        <w:rPr>
          <w:color w:val="000000"/>
        </w:rPr>
        <w:t xml:space="preserve"> </w:t>
      </w:r>
      <w:r w:rsidRPr="00CF3E00">
        <w:rPr>
          <w:b/>
          <w:bCs/>
          <w:smallCaps/>
          <w:color w:val="000000"/>
          <w:u w:val="single"/>
        </w:rPr>
        <w:t>МЕТОДИКА   ЗА   ИКОНОМИЧЕСКИ   НАЙ- ИЗГОДНА ОФЕРТА</w:t>
      </w:r>
    </w:p>
    <w:p w:rsidR="00655A7E" w:rsidRDefault="00655A7E" w:rsidP="00211C57">
      <w:pPr>
        <w:jc w:val="center"/>
        <w:rPr>
          <w:b/>
          <w:bCs/>
          <w:smallCaps/>
          <w:color w:val="000000"/>
          <w:u w:val="single"/>
        </w:rPr>
      </w:pPr>
    </w:p>
    <w:p w:rsidR="00655A7E" w:rsidRPr="00CF3E00" w:rsidRDefault="00655A7E" w:rsidP="00211C57">
      <w:pPr>
        <w:jc w:val="center"/>
        <w:rPr>
          <w:b/>
          <w:bCs/>
          <w:smallCaps/>
          <w:color w:val="000000"/>
          <w:u w:val="single"/>
        </w:rPr>
      </w:pPr>
    </w:p>
    <w:p w:rsidR="00655A7E" w:rsidRPr="007245E5" w:rsidRDefault="00655A7E" w:rsidP="00211C57">
      <w:pPr>
        <w:jc w:val="center"/>
        <w:rPr>
          <w:b/>
          <w:bCs/>
          <w:smallCaps/>
          <w:color w:val="FF0000"/>
          <w:u w:val="single"/>
        </w:rPr>
      </w:pPr>
    </w:p>
    <w:p w:rsidR="00655A7E" w:rsidRDefault="00655A7E" w:rsidP="00A542DD">
      <w:pPr>
        <w:ind w:firstLine="708"/>
        <w:jc w:val="both"/>
        <w:rPr>
          <w:color w:val="000000"/>
        </w:rPr>
      </w:pPr>
      <w:r w:rsidRPr="00861C00">
        <w:rPr>
          <w:color w:val="000000"/>
        </w:rPr>
        <w:t>Оценката по всеки показате</w:t>
      </w:r>
      <w:r>
        <w:rPr>
          <w:color w:val="000000"/>
        </w:rPr>
        <w:t>л  се формира при условията по-</w:t>
      </w:r>
      <w:r w:rsidRPr="00861C00">
        <w:rPr>
          <w:color w:val="000000"/>
        </w:rPr>
        <w:t xml:space="preserve">долу, като  най – изгодното предложение може да получи 100 т. </w:t>
      </w:r>
    </w:p>
    <w:p w:rsidR="00655A7E" w:rsidRDefault="00655A7E" w:rsidP="00A542DD">
      <w:pPr>
        <w:ind w:firstLine="708"/>
        <w:jc w:val="both"/>
        <w:rPr>
          <w:color w:val="000000"/>
        </w:rPr>
      </w:pPr>
    </w:p>
    <w:p w:rsidR="00655A7E" w:rsidRDefault="00655A7E" w:rsidP="00A542DD">
      <w:pPr>
        <w:ind w:firstLine="708"/>
        <w:jc w:val="both"/>
        <w:rPr>
          <w:color w:val="000000"/>
        </w:rPr>
      </w:pPr>
    </w:p>
    <w:p w:rsidR="00655A7E" w:rsidRPr="00DE36B3" w:rsidRDefault="00655A7E" w:rsidP="00211C57">
      <w:pPr>
        <w:tabs>
          <w:tab w:val="left" w:pos="567"/>
        </w:tabs>
        <w:jc w:val="both"/>
        <w:rPr>
          <w:b/>
          <w:bCs/>
          <w:color w:val="000000"/>
          <w:u w:val="single"/>
        </w:rPr>
      </w:pPr>
      <w:r w:rsidRPr="00A542DD"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1. </w:t>
      </w:r>
      <w:r w:rsidRPr="00DE36B3">
        <w:rPr>
          <w:b/>
          <w:bCs/>
          <w:color w:val="000000"/>
          <w:u w:val="single"/>
        </w:rPr>
        <w:t>Т – техническа оценка на участника, включваща Орган</w:t>
      </w:r>
      <w:r>
        <w:rPr>
          <w:b/>
          <w:bCs/>
          <w:color w:val="000000"/>
          <w:u w:val="single"/>
        </w:rPr>
        <w:t>изация и методология (максимум 70 т.</w:t>
      </w:r>
      <w:r w:rsidRPr="00DE36B3">
        <w:rPr>
          <w:b/>
          <w:bCs/>
          <w:color w:val="000000"/>
          <w:u w:val="single"/>
        </w:rPr>
        <w:t>)</w:t>
      </w:r>
    </w:p>
    <w:p w:rsidR="00655A7E" w:rsidRDefault="00655A7E" w:rsidP="00A542DD">
      <w:pPr>
        <w:ind w:firstLine="708"/>
        <w:jc w:val="both"/>
        <w:rPr>
          <w:color w:val="000000"/>
        </w:rPr>
      </w:pPr>
    </w:p>
    <w:p w:rsidR="00655A7E" w:rsidRDefault="00655A7E" w:rsidP="00A542DD">
      <w:pPr>
        <w:ind w:firstLine="708"/>
        <w:jc w:val="both"/>
      </w:pPr>
      <w:r w:rsidRPr="00DE36B3">
        <w:rPr>
          <w:color w:val="000000"/>
        </w:rPr>
        <w:t xml:space="preserve">По този показател се оценява </w:t>
      </w:r>
      <w:r w:rsidRPr="00DE36B3">
        <w:rPr>
          <w:color w:val="000000"/>
          <w:spacing w:val="3"/>
        </w:rPr>
        <w:t>дали предложението на участника показва задълбочено познаване на цялостния процес по изпълнение на поръчката, в т.ч. и на</w:t>
      </w:r>
      <w:r w:rsidRPr="00DE36B3">
        <w:rPr>
          <w:color w:val="000000"/>
        </w:rPr>
        <w:t>ч</w:t>
      </w:r>
      <w:r w:rsidRPr="00DE36B3">
        <w:rPr>
          <w:color w:val="000000"/>
          <w:spacing w:val="3"/>
        </w:rPr>
        <w:t xml:space="preserve">ина на извършването му. Комисията преценява </w:t>
      </w:r>
      <w:r w:rsidRPr="00DE36B3">
        <w:rPr>
          <w:color w:val="000000"/>
        </w:rPr>
        <w:t xml:space="preserve">разбирането на участника за обхвата на поръчката, преценката за необходимите ресурси и организацията на работата в етапа на реализация предмета на поръчката, която </w:t>
      </w:r>
      <w:r w:rsidRPr="00395ECC">
        <w:t xml:space="preserve">участникът възнамерява да създаде. </w:t>
      </w:r>
    </w:p>
    <w:p w:rsidR="00655A7E" w:rsidRDefault="00655A7E" w:rsidP="00373E24">
      <w:pPr>
        <w:ind w:firstLine="708"/>
        <w:jc w:val="both"/>
        <w:rPr>
          <w:color w:val="000000"/>
          <w:spacing w:val="3"/>
        </w:rPr>
      </w:pPr>
      <w:r w:rsidRPr="00995EB9">
        <w:rPr>
          <w:color w:val="000000"/>
        </w:rPr>
        <w:t>Предмет на оценка е разпределението на различните ресурси в обособените етапи на работа и координацията на дейностите и участниците в процеса. Комисията преценява</w:t>
      </w:r>
      <w:r w:rsidRPr="00DE36B3">
        <w:rPr>
          <w:color w:val="000000"/>
        </w:rPr>
        <w:t xml:space="preserve"> дали предложената организация би осигурила в достатъчна степен качество на изпълнение на поръчката</w:t>
      </w:r>
      <w:r w:rsidRPr="00DE36B3">
        <w:rPr>
          <w:color w:val="000000"/>
          <w:spacing w:val="3"/>
        </w:rPr>
        <w:t xml:space="preserve"> и доколко съществува сериозен риск от вътрешен организационен проблем за изпълнението на поръчката.</w:t>
      </w:r>
    </w:p>
    <w:p w:rsidR="00655A7E" w:rsidRDefault="00655A7E" w:rsidP="00373E24">
      <w:pPr>
        <w:ind w:firstLine="708"/>
        <w:jc w:val="both"/>
        <w:rPr>
          <w:color w:val="000000"/>
          <w:spacing w:val="3"/>
        </w:rPr>
      </w:pPr>
      <w:r w:rsidRPr="00DE36B3">
        <w:rPr>
          <w:color w:val="000000"/>
        </w:rPr>
        <w:t xml:space="preserve">Оценяват се </w:t>
      </w:r>
      <w:r>
        <w:rPr>
          <w:color w:val="000000"/>
        </w:rPr>
        <w:t>м</w:t>
      </w:r>
      <w:r w:rsidRPr="00DE36B3">
        <w:rPr>
          <w:color w:val="000000"/>
        </w:rPr>
        <w:t>етодите и похватите, посочени от участника за изпълнение на услугата, и тяхното съответствие с целите на поръчката. Преценяват се адекватността и целесъобразността на представеното разпределение на задачите и отговорностите между експертите с определените методи и етапи за изпълнение и доколко то се покрива от ресурсна осигуреност, посочена от страна на участника.</w:t>
      </w:r>
      <w:r w:rsidRPr="00DE36B3">
        <w:rPr>
          <w:color w:val="000000"/>
          <w:spacing w:val="3"/>
        </w:rPr>
        <w:t xml:space="preserve"> </w:t>
      </w:r>
    </w:p>
    <w:p w:rsidR="00655A7E" w:rsidRDefault="00655A7E" w:rsidP="00373E24">
      <w:pPr>
        <w:ind w:firstLine="708"/>
        <w:jc w:val="both"/>
        <w:rPr>
          <w:color w:val="000000"/>
          <w:spacing w:val="3"/>
        </w:rPr>
      </w:pPr>
    </w:p>
    <w:p w:rsidR="00655A7E" w:rsidRDefault="00655A7E" w:rsidP="00373E24">
      <w:pPr>
        <w:ind w:firstLine="708"/>
        <w:jc w:val="both"/>
        <w:rPr>
          <w:b/>
          <w:bCs/>
          <w:color w:val="000000"/>
        </w:rPr>
      </w:pPr>
      <w:r w:rsidRPr="00DE36B3">
        <w:rPr>
          <w:b/>
          <w:bCs/>
          <w:color w:val="000000"/>
        </w:rPr>
        <w:t xml:space="preserve">Т - Организация и методология (максимална оценка – </w:t>
      </w:r>
      <w:r>
        <w:rPr>
          <w:b/>
          <w:bCs/>
          <w:color w:val="000000"/>
        </w:rPr>
        <w:t>70</w:t>
      </w:r>
      <w:r w:rsidRPr="00DE36B3">
        <w:rPr>
          <w:b/>
          <w:bCs/>
          <w:color w:val="000000"/>
        </w:rPr>
        <w:t>)</w:t>
      </w:r>
    </w:p>
    <w:p w:rsidR="00655A7E" w:rsidRDefault="00655A7E" w:rsidP="00373E24">
      <w:pPr>
        <w:ind w:firstLine="708"/>
        <w:jc w:val="both"/>
        <w:rPr>
          <w:b/>
          <w:bCs/>
          <w:color w:val="000000"/>
        </w:rPr>
      </w:pPr>
    </w:p>
    <w:p w:rsidR="00655A7E" w:rsidRDefault="00655A7E" w:rsidP="00373E24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1.1. Участникът получава 70</w:t>
      </w:r>
      <w:r w:rsidRPr="00DE36B3">
        <w:rPr>
          <w:b/>
          <w:bCs/>
          <w:color w:val="000000"/>
        </w:rPr>
        <w:t xml:space="preserve"> точки</w:t>
      </w:r>
      <w:r>
        <w:rPr>
          <w:b/>
          <w:bCs/>
          <w:color w:val="000000"/>
        </w:rPr>
        <w:t xml:space="preserve">  при наличие на следните условия:</w:t>
      </w:r>
    </w:p>
    <w:p w:rsidR="00655A7E" w:rsidRDefault="00655A7E" w:rsidP="00373E24">
      <w:pPr>
        <w:ind w:firstLine="708"/>
        <w:jc w:val="both"/>
        <w:rPr>
          <w:b/>
          <w:bCs/>
          <w:color w:val="000000"/>
        </w:rPr>
      </w:pPr>
    </w:p>
    <w:p w:rsidR="00655A7E" w:rsidRDefault="00655A7E" w:rsidP="00373E24">
      <w:pPr>
        <w:ind w:firstLine="708"/>
        <w:jc w:val="both"/>
        <w:rPr>
          <w:color w:val="000000"/>
          <w:spacing w:val="3"/>
        </w:rPr>
      </w:pPr>
      <w:r w:rsidRPr="00DE36B3">
        <w:rPr>
          <w:color w:val="000000"/>
        </w:rPr>
        <w:t xml:space="preserve">В представената от участника организация и методология за изпълнение е включено подробно и задълбочено описание на </w:t>
      </w:r>
      <w:r w:rsidRPr="00995EB9">
        <w:rPr>
          <w:color w:val="000000"/>
        </w:rPr>
        <w:t xml:space="preserve">обхвата на поръчката. Предложената организация на работата, предвидените ресурси, цялостната координация и контрол на процеса и участниците в него; предложения списък на лицата за изпълнение на поръчката, квалификацията и опитът им в </w:t>
      </w:r>
      <w:r>
        <w:rPr>
          <w:color w:val="000000"/>
        </w:rPr>
        <w:t>изпълнението на триизмерна проекция</w:t>
      </w:r>
      <w:r w:rsidRPr="00995EB9">
        <w:rPr>
          <w:color w:val="000000"/>
        </w:rPr>
        <w:t>, в максимална степен съответстват на целите и задачите по реализиране предмета на поръчката. Избраните от участника методи гарантират качественото изпълнение. Задачите и отговорностите между участниците в процеса са разпределени адекватно и целесъобразно, като са съобразени с определените методи и етапи за изпълнение и се покриват с предложената ресурсна обезпеченост, посочена от страна на участника.</w:t>
      </w:r>
      <w:r w:rsidRPr="00995EB9">
        <w:rPr>
          <w:color w:val="000000"/>
          <w:spacing w:val="3"/>
        </w:rPr>
        <w:t xml:space="preserve"> </w:t>
      </w:r>
    </w:p>
    <w:p w:rsidR="00655A7E" w:rsidRDefault="00655A7E" w:rsidP="00373E24">
      <w:pPr>
        <w:ind w:firstLine="708"/>
        <w:jc w:val="both"/>
        <w:rPr>
          <w:color w:val="000000"/>
          <w:spacing w:val="3"/>
        </w:rPr>
      </w:pPr>
      <w:r w:rsidRPr="00995EB9">
        <w:rPr>
          <w:color w:val="000000"/>
          <w:spacing w:val="3"/>
        </w:rPr>
        <w:t>В предложението на участника подробно и детайлно са посочени методи за отчетност и контрол, гарантиращи успешната реализация на поръчката. Рискът от вътрешен организационен проблем за изпълнението на поръчката е сведен до минимум.</w:t>
      </w:r>
    </w:p>
    <w:p w:rsidR="00655A7E" w:rsidRDefault="00655A7E" w:rsidP="00373E24">
      <w:pPr>
        <w:ind w:firstLine="708"/>
        <w:jc w:val="both"/>
        <w:rPr>
          <w:color w:val="000000"/>
        </w:rPr>
      </w:pPr>
      <w:r w:rsidRPr="00995EB9">
        <w:rPr>
          <w:color w:val="000000"/>
          <w:spacing w:val="3"/>
        </w:rPr>
        <w:t>Представената организация и методология като цяло е обоснована, логична и предвидените с нея дейности са реалистични и изпълними.</w:t>
      </w:r>
      <w:r w:rsidRPr="00995EB9">
        <w:rPr>
          <w:color w:val="000000"/>
        </w:rPr>
        <w:t xml:space="preserve"> </w:t>
      </w:r>
    </w:p>
    <w:p w:rsidR="00655A7E" w:rsidRDefault="00655A7E" w:rsidP="00373E24">
      <w:pPr>
        <w:ind w:firstLine="708"/>
        <w:jc w:val="both"/>
        <w:rPr>
          <w:color w:val="000000"/>
        </w:rPr>
      </w:pPr>
    </w:p>
    <w:p w:rsidR="00655A7E" w:rsidRDefault="00655A7E" w:rsidP="00373E24">
      <w:pPr>
        <w:ind w:firstLine="708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1.2. </w:t>
      </w:r>
      <w:r w:rsidRPr="00373E24">
        <w:rPr>
          <w:b/>
          <w:color w:val="000000"/>
        </w:rPr>
        <w:t>У</w:t>
      </w:r>
      <w:r w:rsidRPr="00995EB9">
        <w:rPr>
          <w:b/>
          <w:bCs/>
          <w:color w:val="000000"/>
        </w:rPr>
        <w:t xml:space="preserve">частникът получава </w:t>
      </w:r>
      <w:r>
        <w:rPr>
          <w:b/>
          <w:bCs/>
          <w:color w:val="000000"/>
        </w:rPr>
        <w:t>40</w:t>
      </w:r>
      <w:r w:rsidRPr="00995EB9">
        <w:rPr>
          <w:b/>
          <w:bCs/>
          <w:color w:val="000000"/>
        </w:rPr>
        <w:t xml:space="preserve"> точки</w:t>
      </w:r>
      <w:r w:rsidRPr="00373E2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при наличие на следните условия:</w:t>
      </w:r>
    </w:p>
    <w:p w:rsidR="00655A7E" w:rsidRPr="00995EB9" w:rsidRDefault="00655A7E" w:rsidP="00373E24">
      <w:pPr>
        <w:ind w:firstLine="708"/>
        <w:jc w:val="both"/>
        <w:rPr>
          <w:b/>
          <w:bCs/>
          <w:color w:val="000000"/>
        </w:rPr>
      </w:pPr>
    </w:p>
    <w:p w:rsidR="00655A7E" w:rsidRDefault="00655A7E" w:rsidP="00373E24">
      <w:pPr>
        <w:ind w:firstLine="708"/>
        <w:jc w:val="both"/>
        <w:rPr>
          <w:color w:val="000000"/>
        </w:rPr>
      </w:pPr>
      <w:r w:rsidRPr="00995EB9">
        <w:rPr>
          <w:color w:val="000000"/>
        </w:rPr>
        <w:t xml:space="preserve">В представената от участника организация и методология за изпълнение, </w:t>
      </w:r>
      <w:r w:rsidRPr="00995EB9">
        <w:rPr>
          <w:color w:val="000000"/>
          <w:spacing w:val="3"/>
        </w:rPr>
        <w:t xml:space="preserve">планираните дейности за постигане на резултатите, предвиждани в </w:t>
      </w:r>
      <w:r>
        <w:rPr>
          <w:color w:val="000000"/>
          <w:spacing w:val="3"/>
        </w:rPr>
        <w:t>поръчката</w:t>
      </w:r>
      <w:r w:rsidRPr="00995EB9">
        <w:rPr>
          <w:color w:val="000000"/>
        </w:rPr>
        <w:t xml:space="preserve"> са описани </w:t>
      </w:r>
      <w:r w:rsidRPr="00995EB9">
        <w:rPr>
          <w:color w:val="000000"/>
          <w:spacing w:val="3"/>
        </w:rPr>
        <w:t>непълно, неточно, незадълбочено. Дейностите, както и посочените лица за изпълнение на поръчката, тяхната квалификация и опит</w:t>
      </w:r>
      <w:r w:rsidRPr="00995EB9">
        <w:rPr>
          <w:color w:val="000000"/>
        </w:rPr>
        <w:t>,</w:t>
      </w:r>
      <w:r w:rsidRPr="00995EB9">
        <w:rPr>
          <w:color w:val="000000"/>
          <w:spacing w:val="3"/>
        </w:rPr>
        <w:t xml:space="preserve"> не съответстват напълно на целите и </w:t>
      </w:r>
      <w:r w:rsidRPr="00995EB9">
        <w:rPr>
          <w:color w:val="000000"/>
        </w:rPr>
        <w:t>обхвата на поръчката. Предложената организация на работата, обособените етапи, ресурсното обезпечаване, координацията на дейностите и участниците в процеса не са изчерпателно и детайлно развити и не дават възможност да се направи</w:t>
      </w:r>
      <w:r w:rsidRPr="00DE36B3">
        <w:rPr>
          <w:color w:val="000000"/>
        </w:rPr>
        <w:t xml:space="preserve"> категорична преценка за качественото реализиране предмета на поръчката. </w:t>
      </w:r>
    </w:p>
    <w:p w:rsidR="00655A7E" w:rsidRDefault="00655A7E" w:rsidP="00373E24">
      <w:pPr>
        <w:ind w:firstLine="708"/>
        <w:jc w:val="both"/>
        <w:rPr>
          <w:color w:val="000000"/>
          <w:spacing w:val="3"/>
        </w:rPr>
      </w:pPr>
      <w:r w:rsidRPr="00DE36B3">
        <w:rPr>
          <w:color w:val="000000"/>
          <w:spacing w:val="3"/>
        </w:rPr>
        <w:t xml:space="preserve">Методите за отчетност и контрол са неясно формулирани или не са съобразени напълно със спецификата на поръчката, поради което не може да се направи категорична преценка дали същите могат да гарантират успешна реализация на </w:t>
      </w:r>
      <w:r>
        <w:rPr>
          <w:color w:val="000000"/>
          <w:spacing w:val="3"/>
        </w:rPr>
        <w:t>поръчката</w:t>
      </w:r>
      <w:r w:rsidRPr="00DE36B3">
        <w:rPr>
          <w:color w:val="000000"/>
          <w:spacing w:val="3"/>
        </w:rPr>
        <w:t xml:space="preserve">. Познаването </w:t>
      </w:r>
      <w:r w:rsidRPr="00DE36B3">
        <w:rPr>
          <w:color w:val="000000"/>
        </w:rPr>
        <w:t xml:space="preserve">на методите за управление и упражняване на вътрешен контрол са демонстрирани най-общо, без необходимата задълбоченост. </w:t>
      </w:r>
      <w:r w:rsidRPr="00DE36B3">
        <w:rPr>
          <w:color w:val="000000"/>
          <w:spacing w:val="3"/>
        </w:rPr>
        <w:t>Рискът от вътрешен организационен проблем за изпълнението на поръчката е реален.</w:t>
      </w:r>
    </w:p>
    <w:p w:rsidR="00655A7E" w:rsidRDefault="00655A7E" w:rsidP="00373E24">
      <w:pPr>
        <w:ind w:firstLine="708"/>
        <w:jc w:val="both"/>
        <w:rPr>
          <w:color w:val="000000"/>
          <w:spacing w:val="3"/>
        </w:rPr>
      </w:pPr>
      <w:r w:rsidRPr="00DE36B3">
        <w:rPr>
          <w:color w:val="000000"/>
          <w:spacing w:val="3"/>
        </w:rPr>
        <w:t>Някои от предвидените в нея дейности и методи за изпълнението им биха създали риск от реализиране на целите на възлагането.</w:t>
      </w:r>
    </w:p>
    <w:p w:rsidR="00655A7E" w:rsidRDefault="00655A7E" w:rsidP="00373E24">
      <w:pPr>
        <w:jc w:val="both"/>
        <w:rPr>
          <w:color w:val="000000"/>
          <w:spacing w:val="3"/>
        </w:rPr>
      </w:pPr>
    </w:p>
    <w:p w:rsidR="00655A7E" w:rsidRDefault="00655A7E" w:rsidP="00373E24">
      <w:pPr>
        <w:ind w:firstLine="708"/>
        <w:jc w:val="both"/>
        <w:rPr>
          <w:b/>
          <w:bCs/>
          <w:color w:val="000000"/>
        </w:rPr>
      </w:pPr>
      <w:r w:rsidRPr="00373E24">
        <w:rPr>
          <w:b/>
          <w:color w:val="000000"/>
          <w:spacing w:val="3"/>
        </w:rPr>
        <w:t>1.3.</w:t>
      </w:r>
      <w:r>
        <w:rPr>
          <w:color w:val="000000"/>
          <w:spacing w:val="3"/>
        </w:rPr>
        <w:t xml:space="preserve"> </w:t>
      </w:r>
      <w:r w:rsidRPr="00DE36B3">
        <w:rPr>
          <w:b/>
          <w:bCs/>
          <w:color w:val="000000"/>
        </w:rPr>
        <w:t xml:space="preserve">Участникът получава </w:t>
      </w:r>
      <w:r>
        <w:rPr>
          <w:b/>
          <w:bCs/>
          <w:color w:val="000000"/>
        </w:rPr>
        <w:t>1</w:t>
      </w:r>
      <w:r w:rsidRPr="00DE36B3">
        <w:rPr>
          <w:b/>
          <w:bCs/>
          <w:color w:val="000000"/>
        </w:rPr>
        <w:t>0 т.</w:t>
      </w:r>
      <w:r w:rsidRPr="00373E2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при наличие на следните условия:</w:t>
      </w:r>
    </w:p>
    <w:p w:rsidR="00655A7E" w:rsidRDefault="00655A7E" w:rsidP="00373E24">
      <w:pPr>
        <w:ind w:firstLine="708"/>
        <w:jc w:val="both"/>
        <w:rPr>
          <w:b/>
          <w:bCs/>
          <w:color w:val="000000"/>
        </w:rPr>
      </w:pPr>
    </w:p>
    <w:p w:rsidR="00655A7E" w:rsidRDefault="00655A7E" w:rsidP="00373E24">
      <w:pPr>
        <w:ind w:firstLine="708"/>
        <w:jc w:val="both"/>
        <w:rPr>
          <w:color w:val="000000"/>
        </w:rPr>
      </w:pPr>
      <w:r w:rsidRPr="00995EB9">
        <w:rPr>
          <w:color w:val="000000"/>
        </w:rPr>
        <w:t xml:space="preserve">В представената от участника организация и методология за изпълнение не е </w:t>
      </w:r>
      <w:r w:rsidRPr="00995EB9">
        <w:rPr>
          <w:color w:val="000000"/>
          <w:spacing w:val="3"/>
        </w:rPr>
        <w:t xml:space="preserve">включено описание на планираните дейности за постигане на резултатите, </w:t>
      </w:r>
      <w:r>
        <w:rPr>
          <w:color w:val="000000"/>
          <w:spacing w:val="3"/>
        </w:rPr>
        <w:t>и/или липсва яснота по самата реализация и изпълнение на поръчката</w:t>
      </w:r>
      <w:r w:rsidRPr="00995EB9">
        <w:rPr>
          <w:color w:val="000000"/>
          <w:spacing w:val="3"/>
        </w:rPr>
        <w:t>.</w:t>
      </w:r>
      <w:r>
        <w:rPr>
          <w:color w:val="000000"/>
          <w:spacing w:val="3"/>
        </w:rPr>
        <w:t xml:space="preserve"> </w:t>
      </w:r>
      <w:r w:rsidRPr="00995EB9">
        <w:rPr>
          <w:color w:val="000000"/>
        </w:rPr>
        <w:t>Предложената организация на работата, обособените етапи, ресурсното обезпечаване, координацията</w:t>
      </w:r>
      <w:r w:rsidRPr="00DE36B3">
        <w:rPr>
          <w:color w:val="000000"/>
        </w:rPr>
        <w:t xml:space="preserve"> на дейностите и участниците в процеса не биха довели до качественото реализиране предмета на поръчката. </w:t>
      </w:r>
    </w:p>
    <w:p w:rsidR="00655A7E" w:rsidRDefault="00655A7E" w:rsidP="00373E24">
      <w:pPr>
        <w:ind w:firstLine="708"/>
        <w:jc w:val="both"/>
        <w:rPr>
          <w:color w:val="000000"/>
          <w:spacing w:val="3"/>
        </w:rPr>
      </w:pPr>
      <w:r w:rsidRPr="00DE36B3">
        <w:rPr>
          <w:color w:val="000000"/>
          <w:spacing w:val="3"/>
        </w:rPr>
        <w:t>В предложението на участника методите за отчетност и контрол са посочени само частично и неясно или изобщо не са посочени.</w:t>
      </w:r>
    </w:p>
    <w:p w:rsidR="00655A7E" w:rsidRDefault="00655A7E" w:rsidP="00373E24">
      <w:pPr>
        <w:ind w:firstLine="708"/>
        <w:jc w:val="both"/>
        <w:rPr>
          <w:color w:val="000000"/>
          <w:spacing w:val="3"/>
        </w:rPr>
      </w:pPr>
      <w:r w:rsidRPr="00DE36B3">
        <w:rPr>
          <w:color w:val="000000"/>
          <w:spacing w:val="3"/>
        </w:rPr>
        <w:t>Представената организация и методология като цяло е вътрешно противоречива, нелогична, като предвидените с нея дейности са трудноизпълними, неизпълними или не водещи до реализиране на целите на възлагането.</w:t>
      </w:r>
    </w:p>
    <w:p w:rsidR="00655A7E" w:rsidRPr="00DE36B3" w:rsidRDefault="00655A7E" w:rsidP="00373E24">
      <w:pPr>
        <w:spacing w:before="120"/>
        <w:ind w:firstLine="708"/>
        <w:jc w:val="both"/>
        <w:rPr>
          <w:i/>
          <w:iCs/>
          <w:color w:val="000000"/>
        </w:rPr>
      </w:pPr>
      <w:r w:rsidRPr="00DE36B3">
        <w:rPr>
          <w:i/>
          <w:iCs/>
          <w:color w:val="000000"/>
        </w:rPr>
        <w:t>Оферти, в които липсва организация и методология няма да подлежат на оценка.</w:t>
      </w:r>
    </w:p>
    <w:p w:rsidR="00655A7E" w:rsidRPr="0039386A" w:rsidRDefault="00655A7E" w:rsidP="00211C57">
      <w:pPr>
        <w:widowControl w:val="0"/>
        <w:tabs>
          <w:tab w:val="left" w:pos="6840"/>
        </w:tabs>
        <w:autoSpaceDE w:val="0"/>
        <w:autoSpaceDN w:val="0"/>
        <w:adjustRightInd w:val="0"/>
        <w:jc w:val="both"/>
        <w:rPr>
          <w:color w:val="FF0000"/>
        </w:rPr>
      </w:pPr>
    </w:p>
    <w:p w:rsidR="00655A7E" w:rsidRDefault="00655A7E" w:rsidP="00373E24">
      <w:pPr>
        <w:tabs>
          <w:tab w:val="left" w:pos="709"/>
          <w:tab w:val="left" w:pos="993"/>
        </w:tabs>
        <w:spacing w:after="120"/>
        <w:ind w:firstLine="709"/>
        <w:jc w:val="both"/>
        <w:rPr>
          <w:b/>
          <w:u w:val="single"/>
          <w:lang w:val="ru-RU"/>
        </w:rPr>
      </w:pPr>
    </w:p>
    <w:p w:rsidR="00655A7E" w:rsidRPr="004476C6" w:rsidRDefault="00655A7E" w:rsidP="00373E24">
      <w:pPr>
        <w:tabs>
          <w:tab w:val="left" w:pos="709"/>
          <w:tab w:val="left" w:pos="993"/>
        </w:tabs>
        <w:spacing w:after="120"/>
        <w:ind w:firstLine="709"/>
        <w:jc w:val="both"/>
        <w:rPr>
          <w:b/>
          <w:u w:val="single"/>
          <w:lang w:val="ru-RU"/>
        </w:rPr>
      </w:pPr>
      <w:r w:rsidRPr="004476C6">
        <w:rPr>
          <w:b/>
          <w:u w:val="single"/>
          <w:lang w:val="ru-RU"/>
        </w:rPr>
        <w:t xml:space="preserve">2. Финансова оценка – Ф </w:t>
      </w:r>
      <w:r w:rsidRPr="004476C6">
        <w:rPr>
          <w:b/>
          <w:u w:val="single"/>
        </w:rPr>
        <w:t xml:space="preserve">– максимален брой </w:t>
      </w:r>
      <w:r w:rsidRPr="002462D7">
        <w:rPr>
          <w:b/>
          <w:u w:val="single"/>
          <w:lang w:val="ru-RU"/>
        </w:rPr>
        <w:t>30</w:t>
      </w:r>
      <w:r w:rsidRPr="004476C6">
        <w:rPr>
          <w:b/>
          <w:u w:val="single"/>
        </w:rPr>
        <w:t xml:space="preserve"> точки</w:t>
      </w:r>
    </w:p>
    <w:p w:rsidR="00655A7E" w:rsidRPr="004476C6" w:rsidRDefault="00655A7E" w:rsidP="00373E24">
      <w:pPr>
        <w:tabs>
          <w:tab w:val="left" w:pos="709"/>
          <w:tab w:val="left" w:pos="993"/>
        </w:tabs>
        <w:ind w:firstLine="709"/>
        <w:jc w:val="both"/>
        <w:rPr>
          <w:lang w:val="ru-RU"/>
        </w:rPr>
      </w:pPr>
      <w:r w:rsidRPr="004476C6">
        <w:rPr>
          <w:lang w:val="ru-RU"/>
        </w:rPr>
        <w:t xml:space="preserve">Финансовите предложения се проверяват, за да се установи, че са подготвени и представени в съответствие с изискванията на документацията за участие в </w:t>
      </w:r>
      <w:r w:rsidRPr="004476C6">
        <w:t>процедурата</w:t>
      </w:r>
      <w:r w:rsidRPr="004476C6">
        <w:rPr>
          <w:lang w:val="ru-RU"/>
        </w:rPr>
        <w:t>.</w:t>
      </w:r>
      <w:r w:rsidRPr="004476C6">
        <w:t xml:space="preserve"> </w:t>
      </w:r>
      <w:r w:rsidRPr="004476C6">
        <w:rPr>
          <w:lang w:val="ru-RU"/>
        </w:rPr>
        <w:t>При различия между сумите, изразени с цифри и думи, за вярно се приема словесното изражение на сумата.</w:t>
      </w:r>
    </w:p>
    <w:p w:rsidR="00655A7E" w:rsidRPr="004476C6" w:rsidRDefault="00655A7E" w:rsidP="00373E24">
      <w:pPr>
        <w:tabs>
          <w:tab w:val="left" w:pos="360"/>
          <w:tab w:val="left" w:pos="709"/>
          <w:tab w:val="left" w:pos="993"/>
        </w:tabs>
        <w:ind w:firstLine="709"/>
        <w:jc w:val="both"/>
        <w:rPr>
          <w:b/>
          <w:i/>
          <w:lang w:val="ru-RU"/>
        </w:rPr>
      </w:pPr>
    </w:p>
    <w:p w:rsidR="00655A7E" w:rsidRPr="004476C6" w:rsidRDefault="00655A7E" w:rsidP="00373E24">
      <w:pPr>
        <w:tabs>
          <w:tab w:val="left" w:pos="709"/>
          <w:tab w:val="left" w:pos="993"/>
        </w:tabs>
        <w:ind w:firstLine="709"/>
        <w:jc w:val="both"/>
        <w:rPr>
          <w:b/>
          <w:i/>
          <w:u w:val="single"/>
        </w:rPr>
      </w:pPr>
      <w:r w:rsidRPr="004476C6">
        <w:rPr>
          <w:b/>
          <w:i/>
        </w:rPr>
        <w:t xml:space="preserve"> </w:t>
      </w:r>
      <w:r w:rsidRPr="004476C6">
        <w:rPr>
          <w:b/>
          <w:i/>
          <w:u w:val="single"/>
        </w:rPr>
        <w:t>О</w:t>
      </w:r>
      <w:r w:rsidRPr="004476C6">
        <w:rPr>
          <w:b/>
          <w:i/>
          <w:u w:val="single"/>
          <w:lang w:val="ru-RU"/>
        </w:rPr>
        <w:t>ценка на финансовото предложение.</w:t>
      </w:r>
    </w:p>
    <w:p w:rsidR="00655A7E" w:rsidRPr="00FC67A9" w:rsidRDefault="00655A7E" w:rsidP="00373E24">
      <w:pPr>
        <w:pStyle w:val="BodyTextIndent"/>
        <w:tabs>
          <w:tab w:val="left" w:pos="709"/>
          <w:tab w:val="left" w:pos="993"/>
        </w:tabs>
        <w:ind w:left="0" w:firstLine="709"/>
        <w:jc w:val="both"/>
        <w:outlineLvl w:val="0"/>
        <w:rPr>
          <w:b/>
          <w:sz w:val="24"/>
          <w:szCs w:val="24"/>
          <w:lang w:val="ru-RU"/>
        </w:rPr>
      </w:pPr>
    </w:p>
    <w:p w:rsidR="00655A7E" w:rsidRPr="004476C6" w:rsidRDefault="00655A7E" w:rsidP="00373E24">
      <w:pPr>
        <w:pStyle w:val="BodyTextIndent"/>
        <w:tabs>
          <w:tab w:val="left" w:pos="709"/>
          <w:tab w:val="left" w:pos="993"/>
        </w:tabs>
        <w:ind w:left="0" w:firstLine="709"/>
        <w:jc w:val="both"/>
        <w:outlineLvl w:val="0"/>
        <w:rPr>
          <w:sz w:val="24"/>
          <w:szCs w:val="24"/>
          <w:lang w:val="ru-RU"/>
        </w:rPr>
      </w:pPr>
      <w:r w:rsidRPr="004476C6">
        <w:rPr>
          <w:b/>
          <w:sz w:val="24"/>
          <w:szCs w:val="24"/>
          <w:lang w:val="ru-RU"/>
        </w:rPr>
        <w:t>Ф</w:t>
      </w:r>
      <w:r w:rsidRPr="004476C6">
        <w:rPr>
          <w:sz w:val="24"/>
          <w:szCs w:val="24"/>
          <w:lang w:val="ru-RU"/>
        </w:rPr>
        <w:t xml:space="preserve"> – финансова оценка на предлаганата от участника цена за изпълнение на поръчката, която за всеки участник се изчислява по формулата:</w:t>
      </w:r>
    </w:p>
    <w:p w:rsidR="00655A7E" w:rsidRPr="004476C6" w:rsidRDefault="00655A7E" w:rsidP="00373E24">
      <w:pPr>
        <w:pStyle w:val="BodyTextIndent"/>
        <w:tabs>
          <w:tab w:val="left" w:pos="709"/>
          <w:tab w:val="left" w:pos="993"/>
        </w:tabs>
        <w:ind w:left="0" w:firstLine="709"/>
        <w:jc w:val="both"/>
        <w:outlineLvl w:val="0"/>
        <w:rPr>
          <w:b/>
          <w:sz w:val="24"/>
          <w:szCs w:val="24"/>
          <w:lang w:val="ru-RU"/>
        </w:rPr>
      </w:pPr>
      <w:r w:rsidRPr="004476C6">
        <w:rPr>
          <w:b/>
          <w:sz w:val="24"/>
          <w:szCs w:val="24"/>
          <w:lang w:val="ru-RU"/>
        </w:rPr>
        <w:t>Ф = Ц</w:t>
      </w:r>
      <w:r w:rsidRPr="00362C4E">
        <w:rPr>
          <w:b/>
          <w:sz w:val="24"/>
          <w:szCs w:val="24"/>
          <w:vertAlign w:val="subscript"/>
        </w:rPr>
        <w:t>min</w:t>
      </w:r>
      <w:r w:rsidRPr="004476C6">
        <w:rPr>
          <w:b/>
          <w:sz w:val="24"/>
          <w:szCs w:val="24"/>
          <w:lang w:val="ru-RU"/>
        </w:rPr>
        <w:t xml:space="preserve"> / Ц</w:t>
      </w:r>
      <w:r w:rsidRPr="00362C4E">
        <w:rPr>
          <w:b/>
          <w:sz w:val="24"/>
          <w:szCs w:val="24"/>
          <w:vertAlign w:val="subscript"/>
        </w:rPr>
        <w:t>n</w:t>
      </w:r>
      <w:r w:rsidRPr="004476C6">
        <w:rPr>
          <w:b/>
          <w:sz w:val="24"/>
          <w:szCs w:val="24"/>
          <w:lang w:val="ru-RU"/>
        </w:rPr>
        <w:t xml:space="preserve"> х </w:t>
      </w:r>
      <w:r w:rsidRPr="002462D7">
        <w:rPr>
          <w:b/>
          <w:sz w:val="24"/>
          <w:szCs w:val="24"/>
          <w:lang w:val="ru-RU"/>
        </w:rPr>
        <w:t>30</w:t>
      </w:r>
      <w:r w:rsidRPr="004476C6">
        <w:rPr>
          <w:b/>
          <w:sz w:val="24"/>
          <w:szCs w:val="24"/>
          <w:lang w:val="ru-RU"/>
        </w:rPr>
        <w:t xml:space="preserve">, </w:t>
      </w:r>
      <w:r w:rsidRPr="004476C6">
        <w:rPr>
          <w:sz w:val="24"/>
          <w:szCs w:val="24"/>
          <w:lang w:val="ru-RU"/>
        </w:rPr>
        <w:t>където:</w:t>
      </w:r>
    </w:p>
    <w:p w:rsidR="00655A7E" w:rsidRPr="004476C6" w:rsidRDefault="00655A7E" w:rsidP="00373E24">
      <w:pPr>
        <w:pStyle w:val="BodyTextIndent"/>
        <w:tabs>
          <w:tab w:val="left" w:pos="709"/>
          <w:tab w:val="left" w:pos="993"/>
        </w:tabs>
        <w:ind w:left="0" w:firstLine="709"/>
        <w:jc w:val="both"/>
        <w:outlineLvl w:val="0"/>
        <w:rPr>
          <w:sz w:val="24"/>
          <w:szCs w:val="24"/>
          <w:lang w:val="ru-RU"/>
        </w:rPr>
      </w:pPr>
      <w:r w:rsidRPr="004476C6">
        <w:rPr>
          <w:b/>
          <w:sz w:val="24"/>
          <w:szCs w:val="24"/>
          <w:lang w:val="ru-RU"/>
        </w:rPr>
        <w:t>Ц</w:t>
      </w:r>
      <w:r w:rsidRPr="00362C4E">
        <w:rPr>
          <w:b/>
          <w:sz w:val="24"/>
          <w:szCs w:val="24"/>
          <w:vertAlign w:val="subscript"/>
        </w:rPr>
        <w:t>min</w:t>
      </w:r>
      <w:r w:rsidRPr="004476C6">
        <w:rPr>
          <w:sz w:val="24"/>
          <w:szCs w:val="24"/>
          <w:lang w:val="ru-RU"/>
        </w:rPr>
        <w:t xml:space="preserve"> – минималната предложена цена сред всички допуснати до оценка оферти</w:t>
      </w:r>
    </w:p>
    <w:p w:rsidR="00655A7E" w:rsidRPr="004476C6" w:rsidRDefault="00655A7E" w:rsidP="00373E24">
      <w:pPr>
        <w:pStyle w:val="BodyTextIndent"/>
        <w:tabs>
          <w:tab w:val="left" w:pos="709"/>
          <w:tab w:val="left" w:pos="993"/>
        </w:tabs>
        <w:ind w:left="0" w:firstLine="709"/>
        <w:jc w:val="both"/>
        <w:outlineLvl w:val="0"/>
        <w:rPr>
          <w:sz w:val="24"/>
          <w:szCs w:val="24"/>
          <w:lang w:val="ru-RU"/>
        </w:rPr>
      </w:pPr>
      <w:r w:rsidRPr="004476C6">
        <w:rPr>
          <w:b/>
          <w:sz w:val="24"/>
          <w:szCs w:val="24"/>
          <w:lang w:val="ru-RU"/>
        </w:rPr>
        <w:t>Ц</w:t>
      </w:r>
      <w:r w:rsidRPr="00362C4E">
        <w:rPr>
          <w:b/>
          <w:sz w:val="24"/>
          <w:szCs w:val="24"/>
          <w:vertAlign w:val="superscript"/>
        </w:rPr>
        <w:t>n</w:t>
      </w:r>
      <w:r w:rsidRPr="004476C6">
        <w:rPr>
          <w:sz w:val="24"/>
          <w:szCs w:val="24"/>
          <w:lang w:val="ru-RU"/>
        </w:rPr>
        <w:t xml:space="preserve"> – цената предложена в </w:t>
      </w:r>
      <w:r>
        <w:rPr>
          <w:sz w:val="24"/>
          <w:szCs w:val="24"/>
          <w:lang w:val="ru-RU"/>
        </w:rPr>
        <w:t>оценяваната</w:t>
      </w:r>
      <w:r w:rsidRPr="004476C6">
        <w:rPr>
          <w:sz w:val="24"/>
          <w:szCs w:val="24"/>
          <w:lang w:val="ru-RU"/>
        </w:rPr>
        <w:t xml:space="preserve"> оферта</w:t>
      </w:r>
    </w:p>
    <w:p w:rsidR="00655A7E" w:rsidRPr="004476C6" w:rsidRDefault="00655A7E" w:rsidP="00373E24">
      <w:pPr>
        <w:pStyle w:val="BodyText3"/>
        <w:tabs>
          <w:tab w:val="left" w:pos="709"/>
          <w:tab w:val="left" w:pos="993"/>
          <w:tab w:val="left" w:pos="8505"/>
        </w:tabs>
        <w:ind w:firstLine="709"/>
        <w:jc w:val="both"/>
        <w:rPr>
          <w:sz w:val="24"/>
          <w:szCs w:val="24"/>
        </w:rPr>
      </w:pPr>
      <w:r w:rsidRPr="004476C6">
        <w:rPr>
          <w:b/>
          <w:sz w:val="24"/>
          <w:szCs w:val="24"/>
        </w:rPr>
        <w:t xml:space="preserve">Ф </w:t>
      </w:r>
      <w:r w:rsidRPr="004476C6">
        <w:rPr>
          <w:sz w:val="24"/>
          <w:szCs w:val="24"/>
        </w:rPr>
        <w:t xml:space="preserve">се изчислява до втория знак след десетичната запетая. </w:t>
      </w:r>
      <w:r w:rsidRPr="004476C6">
        <w:rPr>
          <w:sz w:val="24"/>
          <w:szCs w:val="24"/>
          <w:lang w:val="ru-RU"/>
        </w:rPr>
        <w:t xml:space="preserve"> </w:t>
      </w:r>
    </w:p>
    <w:p w:rsidR="00655A7E" w:rsidRPr="00E82873" w:rsidRDefault="00655A7E" w:rsidP="00211C57">
      <w:pPr>
        <w:widowControl w:val="0"/>
        <w:tabs>
          <w:tab w:val="left" w:pos="6840"/>
        </w:tabs>
        <w:autoSpaceDE w:val="0"/>
        <w:autoSpaceDN w:val="0"/>
        <w:adjustRightInd w:val="0"/>
        <w:jc w:val="both"/>
        <w:rPr>
          <w:color w:val="000000"/>
        </w:rPr>
      </w:pPr>
    </w:p>
    <w:p w:rsidR="00655A7E" w:rsidRPr="007E7939" w:rsidRDefault="00655A7E" w:rsidP="00362C4E">
      <w:pPr>
        <w:tabs>
          <w:tab w:val="left" w:pos="709"/>
          <w:tab w:val="left" w:pos="993"/>
        </w:tabs>
        <w:spacing w:after="120"/>
        <w:ind w:firstLine="709"/>
        <w:jc w:val="both"/>
        <w:rPr>
          <w:b/>
          <w:u w:val="single"/>
          <w:lang w:val="ru-RU"/>
        </w:rPr>
      </w:pPr>
      <w:r>
        <w:rPr>
          <w:b/>
          <w:bCs/>
          <w:u w:val="single"/>
        </w:rPr>
        <w:t>3</w:t>
      </w:r>
      <w:r w:rsidRPr="004476C6">
        <w:rPr>
          <w:b/>
          <w:bCs/>
          <w:u w:val="single"/>
        </w:rPr>
        <w:t>. Обща оценка – О</w:t>
      </w:r>
      <w:r w:rsidRPr="004476C6">
        <w:rPr>
          <w:b/>
          <w:bCs/>
          <w:u w:val="single"/>
          <w:lang w:val="ru-RU"/>
        </w:rPr>
        <w:t xml:space="preserve"> </w:t>
      </w:r>
      <w:r w:rsidRPr="004476C6">
        <w:rPr>
          <w:b/>
          <w:u w:val="single"/>
        </w:rPr>
        <w:t xml:space="preserve">– максимален брой </w:t>
      </w:r>
      <w:r w:rsidRPr="004476C6">
        <w:rPr>
          <w:b/>
          <w:u w:val="single"/>
          <w:lang w:val="ru-RU"/>
        </w:rPr>
        <w:t>10</w:t>
      </w:r>
      <w:r w:rsidRPr="004476C6">
        <w:rPr>
          <w:b/>
          <w:u w:val="single"/>
        </w:rPr>
        <w:t>0 точки</w:t>
      </w:r>
    </w:p>
    <w:p w:rsidR="00655A7E" w:rsidRPr="007E7939" w:rsidRDefault="00655A7E" w:rsidP="00362C4E">
      <w:pPr>
        <w:tabs>
          <w:tab w:val="left" w:pos="709"/>
          <w:tab w:val="left" w:pos="993"/>
        </w:tabs>
        <w:ind w:firstLine="709"/>
        <w:jc w:val="both"/>
      </w:pPr>
      <w:r w:rsidRPr="007E7939">
        <w:t>Общата оценка е сбор на стойностите на техническата оценка и финансовата оценка:</w:t>
      </w:r>
      <w:r w:rsidRPr="007E7939">
        <w:tab/>
        <w:t xml:space="preserve"> </w:t>
      </w:r>
    </w:p>
    <w:p w:rsidR="00655A7E" w:rsidRPr="004476C6" w:rsidRDefault="00655A7E" w:rsidP="002462D7">
      <w:pPr>
        <w:pStyle w:val="BodyTextIndent"/>
        <w:tabs>
          <w:tab w:val="left" w:pos="709"/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4476C6">
        <w:rPr>
          <w:b/>
          <w:sz w:val="24"/>
          <w:szCs w:val="24"/>
          <w:lang w:val="ru-RU"/>
        </w:rPr>
        <w:t>О = Т + Ф</w:t>
      </w:r>
      <w:r>
        <w:rPr>
          <w:b/>
          <w:sz w:val="24"/>
          <w:szCs w:val="24"/>
          <w:lang w:val="ru-RU"/>
        </w:rPr>
        <w:t>,</w:t>
      </w:r>
      <w:r w:rsidRPr="007E7939">
        <w:rPr>
          <w:b/>
          <w:sz w:val="24"/>
          <w:szCs w:val="24"/>
          <w:lang w:val="ru-RU"/>
        </w:rPr>
        <w:t xml:space="preserve"> </w:t>
      </w:r>
      <w:r w:rsidRPr="004476C6">
        <w:rPr>
          <w:sz w:val="24"/>
          <w:szCs w:val="24"/>
          <w:lang w:val="ru-RU"/>
        </w:rPr>
        <w:t>където</w:t>
      </w:r>
      <w:r>
        <w:rPr>
          <w:sz w:val="24"/>
          <w:szCs w:val="24"/>
          <w:lang w:val="ru-RU"/>
        </w:rPr>
        <w:t>:</w:t>
      </w:r>
    </w:p>
    <w:p w:rsidR="00655A7E" w:rsidRPr="007E7939" w:rsidRDefault="00655A7E" w:rsidP="00362C4E">
      <w:pPr>
        <w:tabs>
          <w:tab w:val="left" w:pos="709"/>
          <w:tab w:val="left" w:pos="993"/>
        </w:tabs>
        <w:ind w:firstLine="709"/>
        <w:jc w:val="both"/>
      </w:pPr>
      <w:r w:rsidRPr="007E7939">
        <w:rPr>
          <w:b/>
        </w:rPr>
        <w:t>О</w:t>
      </w:r>
      <w:r w:rsidRPr="007E7939">
        <w:t xml:space="preserve">     – общата оценка на </w:t>
      </w:r>
      <w:r>
        <w:t xml:space="preserve">оценяваната </w:t>
      </w:r>
      <w:r w:rsidRPr="007E7939">
        <w:t>оферта,</w:t>
      </w:r>
    </w:p>
    <w:p w:rsidR="00655A7E" w:rsidRPr="007E7939" w:rsidRDefault="00655A7E" w:rsidP="00362C4E">
      <w:pPr>
        <w:tabs>
          <w:tab w:val="left" w:pos="709"/>
          <w:tab w:val="left" w:pos="993"/>
        </w:tabs>
        <w:ind w:firstLine="709"/>
        <w:jc w:val="both"/>
      </w:pPr>
      <w:r w:rsidRPr="007E7939">
        <w:rPr>
          <w:b/>
        </w:rPr>
        <w:t>Т</w:t>
      </w:r>
      <w:r w:rsidRPr="007E7939">
        <w:t xml:space="preserve">     – техническата оценка на </w:t>
      </w:r>
      <w:r>
        <w:t xml:space="preserve">оценяваната </w:t>
      </w:r>
      <w:r w:rsidRPr="007E7939">
        <w:t>оферта,</w:t>
      </w:r>
    </w:p>
    <w:p w:rsidR="00655A7E" w:rsidRDefault="00655A7E" w:rsidP="00362C4E">
      <w:pPr>
        <w:tabs>
          <w:tab w:val="left" w:pos="709"/>
          <w:tab w:val="left" w:pos="993"/>
        </w:tabs>
        <w:ind w:firstLine="709"/>
        <w:jc w:val="both"/>
      </w:pPr>
      <w:r w:rsidRPr="007E7939">
        <w:rPr>
          <w:b/>
        </w:rPr>
        <w:t>Ф</w:t>
      </w:r>
      <w:r w:rsidRPr="007E7939">
        <w:t xml:space="preserve">    – финансовата оценка на </w:t>
      </w:r>
      <w:r>
        <w:t>оценяваната оферта,</w:t>
      </w:r>
    </w:p>
    <w:p w:rsidR="00655A7E" w:rsidRDefault="00655A7E" w:rsidP="00362C4E">
      <w:pPr>
        <w:tabs>
          <w:tab w:val="left" w:pos="540"/>
          <w:tab w:val="left" w:pos="709"/>
        </w:tabs>
        <w:spacing w:after="120"/>
        <w:jc w:val="both"/>
        <w:rPr>
          <w:b/>
        </w:rPr>
      </w:pPr>
    </w:p>
    <w:p w:rsidR="00655A7E" w:rsidRDefault="00655A7E" w:rsidP="00362C4E">
      <w:pPr>
        <w:tabs>
          <w:tab w:val="left" w:pos="540"/>
          <w:tab w:val="left" w:pos="709"/>
        </w:tabs>
        <w:spacing w:after="120"/>
        <w:jc w:val="both"/>
        <w:rPr>
          <w:b/>
        </w:rPr>
      </w:pPr>
      <w:r>
        <w:rPr>
          <w:b/>
        </w:rPr>
        <w:tab/>
      </w:r>
    </w:p>
    <w:p w:rsidR="00655A7E" w:rsidRDefault="00655A7E" w:rsidP="00362C4E">
      <w:pPr>
        <w:tabs>
          <w:tab w:val="left" w:pos="540"/>
          <w:tab w:val="left" w:pos="709"/>
        </w:tabs>
        <w:spacing w:after="120"/>
        <w:jc w:val="both"/>
        <w:rPr>
          <w:b/>
        </w:rPr>
      </w:pPr>
      <w:r>
        <w:rPr>
          <w:b/>
        </w:rPr>
        <w:tab/>
      </w:r>
    </w:p>
    <w:p w:rsidR="00655A7E" w:rsidRPr="007E7939" w:rsidRDefault="00655A7E" w:rsidP="00362C4E">
      <w:pPr>
        <w:tabs>
          <w:tab w:val="left" w:pos="540"/>
          <w:tab w:val="left" w:pos="709"/>
        </w:tabs>
        <w:spacing w:after="120"/>
        <w:jc w:val="both"/>
        <w:rPr>
          <w:b/>
        </w:rPr>
      </w:pPr>
      <w:r>
        <w:rPr>
          <w:b/>
        </w:rPr>
        <w:tab/>
      </w:r>
      <w:r w:rsidRPr="007E7939">
        <w:rPr>
          <w:b/>
        </w:rPr>
        <w:t xml:space="preserve">Крайно класиране на </w:t>
      </w:r>
      <w:r>
        <w:rPr>
          <w:b/>
        </w:rPr>
        <w:t>Участниците</w:t>
      </w:r>
    </w:p>
    <w:p w:rsidR="00655A7E" w:rsidRDefault="00655A7E" w:rsidP="00362C4E">
      <w:pPr>
        <w:pStyle w:val="BodyText3"/>
        <w:ind w:firstLine="567"/>
        <w:jc w:val="both"/>
        <w:rPr>
          <w:sz w:val="24"/>
          <w:szCs w:val="24"/>
        </w:rPr>
      </w:pPr>
      <w:r w:rsidRPr="007E7939">
        <w:rPr>
          <w:sz w:val="24"/>
          <w:szCs w:val="24"/>
        </w:rPr>
        <w:t xml:space="preserve">Крайното класиране на участниците се извършва по броя на точките,  получени за всеки участник. На първо място се класира </w:t>
      </w:r>
      <w:r>
        <w:rPr>
          <w:sz w:val="24"/>
          <w:szCs w:val="24"/>
        </w:rPr>
        <w:t>участникът</w:t>
      </w:r>
      <w:r w:rsidRPr="007E7939">
        <w:rPr>
          <w:sz w:val="24"/>
          <w:szCs w:val="24"/>
        </w:rPr>
        <w:t xml:space="preserve">, получил най-висока обща оценка. </w:t>
      </w:r>
    </w:p>
    <w:p w:rsidR="00655A7E" w:rsidRPr="00362C4E" w:rsidRDefault="00655A7E" w:rsidP="00362C4E">
      <w:pPr>
        <w:pStyle w:val="BodyText"/>
        <w:ind w:firstLine="708"/>
        <w:jc w:val="both"/>
        <w:rPr>
          <w:bCs/>
          <w:color w:val="000000"/>
        </w:rPr>
      </w:pPr>
      <w:r w:rsidRPr="00427CD9">
        <w:rPr>
          <w:bCs/>
          <w:i/>
          <w:iCs/>
          <w:color w:val="000000"/>
        </w:rPr>
        <w:t>В случай че комплексните оценки на две или повече оферти са равни, за икономически най-изгодна се приема тази оферта, в която се предлага най-ниска цена. При условие че и цените са еднакви се сравняват оценките по показателя с най-висока относителна тежест и се избира офертата с по-благоприятна стойност по този показател. В случай, че офертата не може да се определи по този ред, Комисията провежда публично жребий за определяне на изпълнител между класираните на първо място оферти.</w:t>
      </w:r>
    </w:p>
    <w:sectPr w:rsidR="00655A7E" w:rsidRPr="00362C4E" w:rsidSect="00BA53A1">
      <w:pgSz w:w="11906" w:h="16838"/>
      <w:pgMar w:top="851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FBD"/>
    <w:multiLevelType w:val="hybridMultilevel"/>
    <w:tmpl w:val="3E18ADF0"/>
    <w:lvl w:ilvl="0" w:tplc="0402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57"/>
    <w:rsid w:val="00211C57"/>
    <w:rsid w:val="0021712D"/>
    <w:rsid w:val="00233F92"/>
    <w:rsid w:val="00240CC3"/>
    <w:rsid w:val="002462D7"/>
    <w:rsid w:val="002509AE"/>
    <w:rsid w:val="002654BF"/>
    <w:rsid w:val="002D626B"/>
    <w:rsid w:val="00362C4E"/>
    <w:rsid w:val="00373E24"/>
    <w:rsid w:val="0039386A"/>
    <w:rsid w:val="00395ECC"/>
    <w:rsid w:val="003A3840"/>
    <w:rsid w:val="003B123A"/>
    <w:rsid w:val="003B441B"/>
    <w:rsid w:val="00415255"/>
    <w:rsid w:val="00427CD9"/>
    <w:rsid w:val="004476C6"/>
    <w:rsid w:val="004A7AB0"/>
    <w:rsid w:val="004B6A48"/>
    <w:rsid w:val="005C7C75"/>
    <w:rsid w:val="00655A7E"/>
    <w:rsid w:val="006F7783"/>
    <w:rsid w:val="007245E5"/>
    <w:rsid w:val="007E7939"/>
    <w:rsid w:val="00861C00"/>
    <w:rsid w:val="00901068"/>
    <w:rsid w:val="00995EB9"/>
    <w:rsid w:val="00A04608"/>
    <w:rsid w:val="00A07D47"/>
    <w:rsid w:val="00A4453A"/>
    <w:rsid w:val="00A542DD"/>
    <w:rsid w:val="00B24309"/>
    <w:rsid w:val="00B6285F"/>
    <w:rsid w:val="00BA53A1"/>
    <w:rsid w:val="00BD593C"/>
    <w:rsid w:val="00C7759C"/>
    <w:rsid w:val="00CC51C8"/>
    <w:rsid w:val="00CD4B6D"/>
    <w:rsid w:val="00CF3E00"/>
    <w:rsid w:val="00D43750"/>
    <w:rsid w:val="00DE36B3"/>
    <w:rsid w:val="00E01B00"/>
    <w:rsid w:val="00E22B9A"/>
    <w:rsid w:val="00E26789"/>
    <w:rsid w:val="00E82873"/>
    <w:rsid w:val="00EA6CB9"/>
    <w:rsid w:val="00EB567F"/>
    <w:rsid w:val="00F77360"/>
    <w:rsid w:val="00F93CCC"/>
    <w:rsid w:val="00FC67A9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1C57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1C57"/>
    <w:rPr>
      <w:rFonts w:ascii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A046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4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3F92"/>
    <w:rPr>
      <w:rFonts w:ascii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4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3F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4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F92"/>
    <w:rPr>
      <w:rFonts w:ascii="Times New Roman" w:hAnsi="Times New Roman" w:cs="Times New Roman"/>
      <w:sz w:val="2"/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373E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3E24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73E24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73E24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62C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62C4E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62C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2C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1059</Words>
  <Characters>6037</Characters>
  <Application>Microsoft Office Outlook</Application>
  <DocSecurity>0</DocSecurity>
  <Lines>0</Lines>
  <Paragraphs>0</Paragraphs>
  <ScaleCrop>false</ScaleCrop>
  <Company> Obst VT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nadiaip</cp:lastModifiedBy>
  <cp:revision>17</cp:revision>
  <cp:lastPrinted>2013-02-18T07:28:00Z</cp:lastPrinted>
  <dcterms:created xsi:type="dcterms:W3CDTF">2013-02-12T12:35:00Z</dcterms:created>
  <dcterms:modified xsi:type="dcterms:W3CDTF">2013-02-26T14:51:00Z</dcterms:modified>
</cp:coreProperties>
</file>