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B" w:rsidRDefault="002E41AB" w:rsidP="002E41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Образец № 6</w:t>
      </w:r>
      <w:bookmarkStart w:id="0" w:name="_GoBack"/>
      <w:bookmarkEnd w:id="0"/>
    </w:p>
    <w:p w:rsidR="002E41AB" w:rsidRDefault="002E41AB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Обособена Позиция 1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Охраната на обекта е 24 /двадесет и четири/ часова, като се осигурява от екипи от по двама охранители.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Всеки екип извършва 12 /дванадесет/ часово дежурство, по изготвен график, съобразен с плана за охрана. Самият план включва: особености на обекта, организация на охраната, смени, въоръжение, комуникации и указания за тактика на действие при различни ситуации, данни за МПС, ако такива се използват при охраната, както и маршрутите, по които се извършва огледа. За всеки случай на задържане, използване на физическа сила, помощни средства или оръжие, охранителят уведомява органите на МВР и изготвя писмен доклад до ръководителя си. 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Охранителната дейност с въоръжена охрана на обект „Парк Света Гора” се осъществява при строго съблюдаване на </w:t>
      </w:r>
      <w:r w:rsidR="00AE7DF1" w:rsidRPr="00AE7DF1">
        <w:rPr>
          <w:b/>
          <w:bCs/>
          <w:color w:val="000000"/>
        </w:rPr>
        <w:t>Закон за оръжията, боеприпасите, взривните вещества и пиротехническите изделия</w:t>
      </w:r>
      <w:r w:rsidR="00AE7D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подзаконовите нормативни актове по прилагането му, както и действащото в страната законодателство към момента.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EF9" w:rsidRPr="001D6013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Месечното възнаграждение за всички дейности по </w:t>
      </w:r>
      <w:r w:rsidR="00AE7DF1">
        <w:rPr>
          <w:b/>
          <w:bCs/>
          <w:color w:val="000000"/>
        </w:rPr>
        <w:t>обособената позиция</w:t>
      </w:r>
      <w:r>
        <w:rPr>
          <w:b/>
          <w:bCs/>
          <w:color w:val="000000"/>
        </w:rPr>
        <w:t xml:space="preserve"> е в размер до 22 /двадесет и две/ минимални работни заплати.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Обособена Позиция 2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6EF9" w:rsidRPr="00BE6DBE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 w:rsidRPr="00BE6DBE">
        <w:rPr>
          <w:b/>
          <w:bCs/>
          <w:color w:val="000000"/>
        </w:rPr>
        <w:t>Поръчката обхваща дейности по охрана на охрана на имуществото на физически или юридически лица и охрана на мероприятия съгласно чл. 5 от Закона за частната охранителна дейност. Извършването на тези дейности става след възлагане от страна на възложителя, при което ще бъдат уточнени конкретните обекти</w:t>
      </w:r>
      <w:r w:rsidR="00AE7DF1">
        <w:rPr>
          <w:b/>
          <w:bCs/>
          <w:color w:val="000000"/>
        </w:rPr>
        <w:t>, мероприятия</w:t>
      </w:r>
      <w:r w:rsidRPr="00BE6DBE">
        <w:rPr>
          <w:b/>
          <w:bCs/>
          <w:color w:val="000000"/>
        </w:rPr>
        <w:t xml:space="preserve"> или имущество, ко</w:t>
      </w:r>
      <w:r>
        <w:rPr>
          <w:b/>
          <w:bCs/>
          <w:color w:val="000000"/>
        </w:rPr>
        <w:t>и</w:t>
      </w:r>
      <w:r w:rsidRPr="00BE6DBE">
        <w:rPr>
          <w:b/>
          <w:bCs/>
          <w:color w:val="000000"/>
        </w:rPr>
        <w:t>то следва да бъдат охранявани, както и необходимия брой охранители и времетраенето на дейностите.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1.Фирмите-</w:t>
      </w:r>
      <w:r w:rsidR="00AE7DF1">
        <w:rPr>
          <w:b/>
        </w:rPr>
        <w:t>участници</w:t>
      </w:r>
      <w:r>
        <w:rPr>
          <w:b/>
        </w:rPr>
        <w:t xml:space="preserve"> трябва да отговарят на изискванията на: </w:t>
      </w:r>
    </w:p>
    <w:p w:rsidR="001F6EF9" w:rsidRDefault="001F6EF9" w:rsidP="001F6E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Чл. 4, ал. 1 от Закона за частната охранителна дейност – Частната охранителна дейност се извършва само след получаване на лиценз или удостоверяване правото на лицата по чл. 2, ал. 2, т. 2 от ЗЧОД;</w:t>
      </w:r>
    </w:p>
    <w:p w:rsidR="001F6EF9" w:rsidRPr="00505A3F" w:rsidRDefault="001F6EF9" w:rsidP="001F6E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</w:rPr>
        <w:t>Ал. 2 – Лицензът може да бъде за извършване на дейността на територията на цялата страна или на територията на отделни области.</w:t>
      </w:r>
    </w:p>
    <w:p w:rsidR="001F6EF9" w:rsidRPr="00505A3F" w:rsidRDefault="001F6EF9" w:rsidP="001F6E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В комплекта документи за участие в поръчката се представя заверено копие на лиценза, издаден от компетентните органи  - чл. </w:t>
      </w:r>
      <w:r w:rsidR="004F2A93">
        <w:rPr>
          <w:b/>
        </w:rPr>
        <w:t>40</w:t>
      </w:r>
      <w:r>
        <w:rPr>
          <w:b/>
        </w:rPr>
        <w:t xml:space="preserve"> от ЗЧОД.</w:t>
      </w:r>
    </w:p>
    <w:p w:rsidR="001F6EF9" w:rsidRDefault="001F6EF9" w:rsidP="001F6EF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</w:rPr>
      </w:pPr>
    </w:p>
    <w:p w:rsidR="001F6EF9" w:rsidRPr="00CF5A95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5A95">
        <w:rPr>
          <w:b/>
          <w:bCs/>
          <w:color w:val="000000"/>
        </w:rPr>
        <w:t>2. При организиране на охраната фирмата се задължава: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2.1. </w:t>
      </w:r>
      <w:r w:rsidR="0028100A" w:rsidRPr="0028100A">
        <w:rPr>
          <w:b/>
          <w:bCs/>
          <w:color w:val="000000"/>
        </w:rPr>
        <w:t>Охраната на обекти - недвижими имоти, е дейност по осигуряване на пропускателен режим в охранявания обект, по опазване на телесната неприкосновеност на физически лица, пребиваващи в обекта, и физическа защита от противоправни посегателства на имуществото, находящо се в него, как</w:t>
      </w:r>
      <w:r w:rsidR="0028100A">
        <w:rPr>
          <w:b/>
          <w:bCs/>
          <w:color w:val="000000"/>
        </w:rPr>
        <w:t>то и по тяхното предотвратяване</w:t>
      </w:r>
      <w:r>
        <w:rPr>
          <w:b/>
          <w:bCs/>
          <w:color w:val="000000"/>
        </w:rPr>
        <w:t>.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2.2. Да създават съответната организация за охрана и безопасност, включително чрез провеждането на задължителен ежедневен и периодичен инструктаж на охранителите.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2.3. Да изготвят и съхраняват правила и указания за спецификата на извършваните видове охранителна дейност, утвърдени от възложителя по договора за охрана или от упълномощен от него представител.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2.4. Да изготви за всеки поет обект, план  за неговата охрана, който да включва: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 особености на охранявания обект;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организация на охраната /постове, маршрути, смени, въоръжение, комуникации и указания за тактиката на действие при различни ситуации/;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 данни за оръжието, ако такова се използва на охранявания обект;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данни за моторните превозни средства, ако такива се използват при осъществяване  на охраната;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данни за монтирани видеокамери, както и на аналогични технически средства или системи, позволяващи да се правят видеозаписи;</w:t>
      </w:r>
    </w:p>
    <w:p w:rsidR="001F6EF9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правилник за пропускателния режим, утвърден от възложителя по договора за охрана или упълномощено от него лице;</w:t>
      </w:r>
    </w:p>
    <w:p w:rsidR="001F6EF9" w:rsidRPr="00505A3F" w:rsidRDefault="001F6EF9" w:rsidP="001F6EF9">
      <w:pPr>
        <w:widowControl w:val="0"/>
        <w:autoSpaceDE w:val="0"/>
        <w:autoSpaceDN w:val="0"/>
        <w:adjustRightInd w:val="0"/>
        <w:spacing w:after="120"/>
        <w:ind w:left="6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списък и график за работа на охранителите. </w:t>
      </w:r>
    </w:p>
    <w:p w:rsidR="001F6EF9" w:rsidRPr="00360BC7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21F2" w:rsidRDefault="00FD21F2"/>
    <w:sectPr w:rsidR="00FD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415"/>
    <w:multiLevelType w:val="hybridMultilevel"/>
    <w:tmpl w:val="B3B2213C"/>
    <w:lvl w:ilvl="0" w:tplc="0FC088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4"/>
    <w:rsid w:val="001F6EF9"/>
    <w:rsid w:val="0028100A"/>
    <w:rsid w:val="002E41AB"/>
    <w:rsid w:val="004F2A93"/>
    <w:rsid w:val="00641FD4"/>
    <w:rsid w:val="00AE7DF1"/>
    <w:rsid w:val="00B33E9E"/>
    <w:rsid w:val="00B84C29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0FEE"/>
  <w15:chartTrackingRefBased/>
  <w15:docId w15:val="{40FF3EBA-E078-466F-8C91-18A5789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Char Char1 Знак Знак Char Char"/>
    <w:basedOn w:val="a"/>
    <w:rsid w:val="001F6EF9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Ivanov</dc:creator>
  <cp:keywords/>
  <dc:description/>
  <cp:lastModifiedBy>Yavor Ivanov</cp:lastModifiedBy>
  <cp:revision>5</cp:revision>
  <dcterms:created xsi:type="dcterms:W3CDTF">2019-07-08T09:14:00Z</dcterms:created>
  <dcterms:modified xsi:type="dcterms:W3CDTF">2019-07-09T09:27:00Z</dcterms:modified>
</cp:coreProperties>
</file>